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2AAF" w:rsidP="004B159A" w:rsidRDefault="007E2AAF" w14:paraId="47F09880" w14:textId="57B8FF38">
      <w:pPr>
        <w:spacing w:after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editId="0F7808FE" wp14:anchorId="6F23EA79">
            <wp:simplePos x="0" y="0"/>
            <wp:positionH relativeFrom="margin">
              <wp:posOffset>687749</wp:posOffset>
            </wp:positionH>
            <wp:positionV relativeFrom="paragraph">
              <wp:posOffset>-871220</wp:posOffset>
            </wp:positionV>
            <wp:extent cx="4412512" cy="3106589"/>
            <wp:effectExtent l="0" t="0" r="7620" b="0"/>
            <wp:wrapNone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2512" cy="310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AAF" w:rsidP="007E2AAF" w:rsidRDefault="007E2AAF" w14:paraId="3BEC5131" w14:textId="5DEFFD40">
      <w:pPr>
        <w:tabs>
          <w:tab w:val="left" w:pos="576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7E2AAF" w:rsidP="004B159A" w:rsidRDefault="007E2AAF" w14:paraId="61DAE51D" w14:textId="77777777">
      <w:pPr>
        <w:spacing w:after="0"/>
        <w:jc w:val="center"/>
        <w:rPr>
          <w:b/>
          <w:sz w:val="28"/>
          <w:szCs w:val="28"/>
        </w:rPr>
      </w:pPr>
    </w:p>
    <w:p w:rsidR="007E2AAF" w:rsidP="004B159A" w:rsidRDefault="007E2AAF" w14:paraId="4B728BFE" w14:textId="77777777">
      <w:pPr>
        <w:spacing w:after="0"/>
        <w:jc w:val="center"/>
        <w:rPr>
          <w:b/>
          <w:sz w:val="28"/>
          <w:szCs w:val="28"/>
        </w:rPr>
      </w:pPr>
    </w:p>
    <w:p w:rsidR="007E2AAF" w:rsidP="004B159A" w:rsidRDefault="007E2AAF" w14:paraId="0C929DF4" w14:textId="77777777">
      <w:pPr>
        <w:spacing w:after="0"/>
        <w:jc w:val="center"/>
        <w:rPr>
          <w:b/>
          <w:sz w:val="28"/>
          <w:szCs w:val="28"/>
        </w:rPr>
      </w:pPr>
    </w:p>
    <w:p w:rsidR="007E2AAF" w:rsidP="004B159A" w:rsidRDefault="007E2AAF" w14:paraId="0D6E3A0E" w14:textId="77777777">
      <w:pPr>
        <w:spacing w:after="0"/>
        <w:jc w:val="center"/>
        <w:rPr>
          <w:b/>
          <w:sz w:val="28"/>
          <w:szCs w:val="28"/>
        </w:rPr>
      </w:pPr>
    </w:p>
    <w:p w:rsidR="007E2AAF" w:rsidP="004B159A" w:rsidRDefault="007E2AAF" w14:paraId="54BD8542" w14:textId="77777777">
      <w:pPr>
        <w:spacing w:after="0"/>
        <w:jc w:val="center"/>
        <w:rPr>
          <w:b/>
          <w:sz w:val="28"/>
          <w:szCs w:val="28"/>
        </w:rPr>
      </w:pPr>
    </w:p>
    <w:p w:rsidR="007E2AAF" w:rsidP="004B159A" w:rsidRDefault="007E2AAF" w14:paraId="03CB5EF6" w14:textId="77777777">
      <w:pPr>
        <w:spacing w:after="0"/>
        <w:jc w:val="center"/>
        <w:rPr>
          <w:b/>
          <w:sz w:val="28"/>
          <w:szCs w:val="28"/>
        </w:rPr>
      </w:pPr>
    </w:p>
    <w:p w:rsidRPr="004B159A" w:rsidR="00D375E6" w:rsidP="004B159A" w:rsidRDefault="006D2AEB" w14:paraId="462EE815" w14:textId="05AE1E41">
      <w:pPr>
        <w:spacing w:after="0"/>
        <w:jc w:val="center"/>
        <w:rPr>
          <w:b/>
          <w:sz w:val="28"/>
          <w:szCs w:val="28"/>
        </w:rPr>
      </w:pPr>
      <w:r w:rsidRPr="004B159A">
        <w:rPr>
          <w:b/>
          <w:sz w:val="28"/>
          <w:szCs w:val="28"/>
        </w:rPr>
        <w:t xml:space="preserve">The </w:t>
      </w:r>
      <w:r w:rsidRPr="004B159A" w:rsidR="00464697">
        <w:rPr>
          <w:b/>
          <w:sz w:val="28"/>
          <w:szCs w:val="28"/>
        </w:rPr>
        <w:t>Police and Crime Commissioner</w:t>
      </w:r>
      <w:r w:rsidRPr="004B159A">
        <w:rPr>
          <w:b/>
          <w:sz w:val="28"/>
          <w:szCs w:val="28"/>
        </w:rPr>
        <w:t>s</w:t>
      </w:r>
    </w:p>
    <w:p w:rsidRPr="004B159A" w:rsidR="006D2AEB" w:rsidP="004B159A" w:rsidRDefault="006D2AEB" w14:paraId="47A30C5C" w14:textId="24925744">
      <w:pPr>
        <w:spacing w:after="0"/>
        <w:jc w:val="center"/>
        <w:rPr>
          <w:b/>
          <w:sz w:val="28"/>
          <w:szCs w:val="28"/>
        </w:rPr>
      </w:pPr>
      <w:r w:rsidRPr="004B159A">
        <w:rPr>
          <w:b/>
          <w:sz w:val="28"/>
          <w:szCs w:val="28"/>
        </w:rPr>
        <w:t>Innovate to Grow Fund</w:t>
      </w:r>
    </w:p>
    <w:p w:rsidR="006D2AEB" w:rsidRDefault="006D2AEB" w14:paraId="28E66B03" w14:textId="77777777">
      <w:pPr>
        <w:rPr>
          <w:b/>
        </w:rPr>
      </w:pPr>
    </w:p>
    <w:p w:rsidR="00503C6D" w:rsidRDefault="00464697" w14:paraId="12BD0D6E" w14:textId="63B92F96">
      <w:pPr>
        <w:rPr>
          <w:bCs/>
        </w:rPr>
      </w:pPr>
      <w:r w:rsidRPr="00503C6D">
        <w:rPr>
          <w:bCs/>
        </w:rPr>
        <w:t>The Police and Crime Commissioner</w:t>
      </w:r>
      <w:r w:rsidR="006D2AEB">
        <w:rPr>
          <w:bCs/>
        </w:rPr>
        <w:t xml:space="preserve"> Andrew Dunbobbin is launching a new scheme which will target </w:t>
      </w:r>
      <w:r w:rsidRPr="00503C6D">
        <w:rPr>
          <w:bCs/>
        </w:rPr>
        <w:t>new initiatives across North Wales that wil</w:t>
      </w:r>
      <w:r w:rsidRPr="00503C6D" w:rsidR="00503C6D">
        <w:rPr>
          <w:bCs/>
        </w:rPr>
        <w:t xml:space="preserve">l compliment the Police and Crime Plan </w:t>
      </w:r>
      <w:r w:rsidRPr="00503C6D" w:rsidR="0097013B">
        <w:rPr>
          <w:bCs/>
        </w:rPr>
        <w:t>priorities</w:t>
      </w:r>
      <w:r w:rsidR="00445EDF">
        <w:rPr>
          <w:bCs/>
        </w:rPr>
        <w:t xml:space="preserve"> and his Community Oriented Police Service (COPS) approach to serve all communities across north Wales. </w:t>
      </w:r>
    </w:p>
    <w:p w:rsidRPr="00255A1C" w:rsidR="00503C6D" w:rsidRDefault="00503C6D" w14:paraId="76AA6534" w14:textId="6AECA7A4">
      <w:pPr>
        <w:rPr>
          <w:b/>
        </w:rPr>
      </w:pPr>
      <w:r w:rsidRPr="00255A1C">
        <w:rPr>
          <w:b/>
        </w:rPr>
        <w:t>Delivering Safer Neighbourhoods</w:t>
      </w:r>
    </w:p>
    <w:p w:rsidR="00503C6D" w:rsidP="00503C6D" w:rsidRDefault="00503C6D" w14:paraId="13E8411B" w14:textId="7C9C7301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Tackle and prevent rural and wildlife crime </w:t>
      </w:r>
    </w:p>
    <w:p w:rsidR="00503C6D" w:rsidP="00503C6D" w:rsidRDefault="00503C6D" w14:paraId="18F4F775" w14:textId="454C1A0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Improve the efficiency and effectiveness </w:t>
      </w:r>
      <w:r w:rsidR="00255A1C">
        <w:rPr>
          <w:bCs/>
        </w:rPr>
        <w:t xml:space="preserve">of police officers and police staff </w:t>
      </w:r>
    </w:p>
    <w:p w:rsidR="00255A1C" w:rsidP="00255A1C" w:rsidRDefault="00255A1C" w14:paraId="33885A4C" w14:textId="0CA36FBA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Improve Road safety </w:t>
      </w:r>
    </w:p>
    <w:p w:rsidRPr="00481331" w:rsidR="00481331" w:rsidP="00481331" w:rsidRDefault="00481331" w14:paraId="7501F721" w14:textId="77777777">
      <w:pPr>
        <w:pStyle w:val="ListParagraph"/>
        <w:rPr>
          <w:bCs/>
        </w:rPr>
      </w:pPr>
    </w:p>
    <w:p w:rsidRPr="00255A1C" w:rsidR="00255A1C" w:rsidP="00255A1C" w:rsidRDefault="00255A1C" w14:paraId="4A366061" w14:textId="491740F1">
      <w:pPr>
        <w:rPr>
          <w:b/>
        </w:rPr>
      </w:pPr>
      <w:r w:rsidRPr="00255A1C">
        <w:rPr>
          <w:b/>
        </w:rPr>
        <w:t xml:space="preserve">Supporting Victims and Communities </w:t>
      </w:r>
    </w:p>
    <w:p w:rsidR="00255A1C" w:rsidP="00255A1C" w:rsidRDefault="00255A1C" w14:paraId="405F4AC2" w14:textId="37958C84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Tackle and prevent domestic abuse and sexual violence</w:t>
      </w:r>
    </w:p>
    <w:p w:rsidR="00255A1C" w:rsidP="00255A1C" w:rsidRDefault="00255A1C" w14:paraId="7F3C85E2" w14:textId="4A08DE00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Safeguard vulnerable people including children </w:t>
      </w:r>
    </w:p>
    <w:p w:rsidR="00255A1C" w:rsidP="00255A1C" w:rsidRDefault="00255A1C" w14:paraId="5139725A" w14:textId="21F6D852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Tackle and prevent cybercrime </w:t>
      </w:r>
    </w:p>
    <w:p w:rsidR="00255A1C" w:rsidP="00255A1C" w:rsidRDefault="00255A1C" w14:paraId="15D585AD" w14:textId="0F20E478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Establish a victim’s panel </w:t>
      </w:r>
    </w:p>
    <w:p w:rsidRPr="00255A1C" w:rsidR="00255A1C" w:rsidP="00255A1C" w:rsidRDefault="00255A1C" w14:paraId="5B4B9D22" w14:textId="7607E1DA"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Tackle and prevent Hate Crime</w:t>
      </w:r>
    </w:p>
    <w:p w:rsidR="00503C6D" w:rsidRDefault="00503C6D" w14:paraId="5BF706E5" w14:textId="7BE999FF">
      <w:pPr>
        <w:rPr>
          <w:bCs/>
        </w:rPr>
      </w:pPr>
    </w:p>
    <w:p w:rsidRPr="00255A1C" w:rsidR="00255A1C" w:rsidRDefault="00255A1C" w14:paraId="4BC5B3A3" w14:textId="32DD8B34">
      <w:pPr>
        <w:rPr>
          <w:b/>
        </w:rPr>
      </w:pPr>
      <w:r w:rsidRPr="00255A1C">
        <w:rPr>
          <w:b/>
        </w:rPr>
        <w:t xml:space="preserve">Fair and Effective Criminal Justice System </w:t>
      </w:r>
    </w:p>
    <w:p w:rsidR="00255A1C" w:rsidP="00255A1C" w:rsidRDefault="00255A1C" w14:paraId="78321BDC" w14:textId="17C9E36C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Introduce a North Wales Female Offender Strategy </w:t>
      </w:r>
    </w:p>
    <w:p w:rsidR="00255A1C" w:rsidP="00255A1C" w:rsidRDefault="00255A1C" w14:paraId="3726774F" w14:textId="1F134D7B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Increase the use of Restorative Justice </w:t>
      </w:r>
    </w:p>
    <w:p w:rsidR="00255A1C" w:rsidP="00255A1C" w:rsidRDefault="00255A1C" w14:paraId="42901936" w14:textId="5B3C0ED4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Support and protect children and young people and divert them away from the Criminal Justice System </w:t>
      </w:r>
    </w:p>
    <w:p w:rsidR="00622C29" w:rsidP="00255A1C" w:rsidRDefault="00622C29" w14:paraId="2A11CA5C" w14:textId="652091F9">
      <w:pPr>
        <w:pStyle w:val="ListParagraph"/>
        <w:numPr>
          <w:ilvl w:val="0"/>
          <w:numId w:val="3"/>
        </w:numPr>
        <w:rPr>
          <w:bCs/>
        </w:rPr>
      </w:pPr>
      <w:r>
        <w:rPr>
          <w:bCs/>
        </w:rPr>
        <w:t xml:space="preserve">Address the root causes of offending and support the rehabilitation of people who have offended </w:t>
      </w:r>
    </w:p>
    <w:p w:rsidR="006D2AEB" w:rsidP="006D2AEB" w:rsidRDefault="006D2AEB" w14:paraId="2DA7C57B" w14:textId="0A445621">
      <w:pPr>
        <w:rPr>
          <w:bCs/>
        </w:rPr>
      </w:pPr>
    </w:p>
    <w:p w:rsidR="006D2AEB" w:rsidP="006D2AEB" w:rsidRDefault="006D2AEB" w14:paraId="7AA8F7FE" w14:textId="6D099B71">
      <w:pPr>
        <w:rPr>
          <w:bCs/>
        </w:rPr>
      </w:pPr>
      <w:r>
        <w:rPr>
          <w:bCs/>
        </w:rPr>
        <w:t xml:space="preserve">The </w:t>
      </w:r>
      <w:r w:rsidR="0097013B">
        <w:rPr>
          <w:bCs/>
        </w:rPr>
        <w:t>C</w:t>
      </w:r>
      <w:r>
        <w:rPr>
          <w:bCs/>
        </w:rPr>
        <w:t xml:space="preserve">ommissioner recognises the importance of small investments to deal with root causes and is keen to invest in projects that demonstrate new and innovative </w:t>
      </w:r>
      <w:r w:rsidR="0097013B">
        <w:rPr>
          <w:bCs/>
        </w:rPr>
        <w:t xml:space="preserve">ideas to prevent and tackle crime across north Wales. </w:t>
      </w:r>
    </w:p>
    <w:p w:rsidR="0097013B" w:rsidP="006D2AEB" w:rsidRDefault="0097013B" w14:paraId="0594546E" w14:textId="452AE5FF">
      <w:pPr>
        <w:rPr>
          <w:bCs/>
        </w:rPr>
      </w:pPr>
      <w:r>
        <w:rPr>
          <w:bCs/>
        </w:rPr>
        <w:lastRenderedPageBreak/>
        <w:t>The Commissioner has allocated £100,000 to the new scheme to support projects for</w:t>
      </w:r>
      <w:r w:rsidR="00E9672F">
        <w:rPr>
          <w:bCs/>
        </w:rPr>
        <w:t xml:space="preserve"> up to 1 year with the main focus being on innovation. </w:t>
      </w:r>
      <w:r>
        <w:rPr>
          <w:bCs/>
        </w:rPr>
        <w:t xml:space="preserve"> </w:t>
      </w:r>
      <w:r w:rsidR="00E9672F">
        <w:rPr>
          <w:bCs/>
        </w:rPr>
        <w:t xml:space="preserve">A maximum of £5k will be available for each project however should the project be delivered across 2 </w:t>
      </w:r>
      <w:r w:rsidR="00C9236F">
        <w:rPr>
          <w:bCs/>
        </w:rPr>
        <w:t xml:space="preserve">or more </w:t>
      </w:r>
      <w:r w:rsidR="00E9672F">
        <w:rPr>
          <w:bCs/>
        </w:rPr>
        <w:t xml:space="preserve">counties a maximum of £10k will be </w:t>
      </w:r>
      <w:r w:rsidR="00890F93">
        <w:rPr>
          <w:bCs/>
        </w:rPr>
        <w:t xml:space="preserve">offered. </w:t>
      </w:r>
    </w:p>
    <w:p w:rsidRPr="00074523" w:rsidR="00074523" w:rsidP="006D2AEB" w:rsidRDefault="00074523" w14:paraId="12A468A7" w14:textId="472BE649">
      <w:pPr>
        <w:rPr>
          <w:b/>
        </w:rPr>
      </w:pPr>
      <w:r w:rsidRPr="00074523">
        <w:rPr>
          <w:b/>
        </w:rPr>
        <w:t>Eligibility and Funding Criteria</w:t>
      </w:r>
    </w:p>
    <w:p w:rsidR="00074523" w:rsidP="006D2AEB" w:rsidRDefault="00074523" w14:paraId="2ED30502" w14:textId="306420CB">
      <w:pPr>
        <w:rPr>
          <w:bCs/>
        </w:rPr>
      </w:pPr>
      <w:r>
        <w:rPr>
          <w:bCs/>
        </w:rPr>
        <w:t>To be eligible for funding</w:t>
      </w:r>
      <w:r w:rsidR="00890F93">
        <w:rPr>
          <w:bCs/>
        </w:rPr>
        <w:t>,</w:t>
      </w:r>
      <w:r>
        <w:rPr>
          <w:bCs/>
        </w:rPr>
        <w:t xml:space="preserve"> applic</w:t>
      </w:r>
      <w:r w:rsidR="00890F93">
        <w:rPr>
          <w:bCs/>
        </w:rPr>
        <w:t>ants</w:t>
      </w:r>
      <w:r>
        <w:rPr>
          <w:bCs/>
        </w:rPr>
        <w:t xml:space="preserve"> must complete a business plan. To be considered by the panel the business plan must align to one of the Commissioners policing priorities</w:t>
      </w:r>
      <w:r w:rsidR="009B5631">
        <w:rPr>
          <w:bCs/>
        </w:rPr>
        <w:t xml:space="preserve">. All organisations will need to ensure they have a Welsh Language, Equal Opportunities and Social Value policy in place and </w:t>
      </w:r>
      <w:r w:rsidR="007E2AAF">
        <w:rPr>
          <w:bCs/>
        </w:rPr>
        <w:t>how</w:t>
      </w:r>
      <w:r w:rsidR="00074D82">
        <w:rPr>
          <w:bCs/>
        </w:rPr>
        <w:t xml:space="preserve"> they will be integrating these areas into the delivery of the project. All applications must include an exit strategy due to the funding only being available for 1 year. In addition, it is preferred that project include</w:t>
      </w:r>
      <w:r w:rsidR="00890F93">
        <w:rPr>
          <w:bCs/>
        </w:rPr>
        <w:t>s</w:t>
      </w:r>
      <w:r w:rsidR="00074D82">
        <w:rPr>
          <w:bCs/>
        </w:rPr>
        <w:t xml:space="preserve"> an element of match funding however this is not essential. </w:t>
      </w:r>
    </w:p>
    <w:p w:rsidR="00074D82" w:rsidP="006D2AEB" w:rsidRDefault="00074D82" w14:paraId="6CC10B79" w14:textId="07C02812">
      <w:pPr>
        <w:rPr>
          <w:b/>
        </w:rPr>
      </w:pPr>
      <w:r w:rsidRPr="00074D82">
        <w:rPr>
          <w:b/>
        </w:rPr>
        <w:t xml:space="preserve">Exclusions </w:t>
      </w:r>
    </w:p>
    <w:p w:rsidRPr="00074D82" w:rsidR="00074D82" w:rsidP="006D2AEB" w:rsidRDefault="00074D82" w14:paraId="71CDE70B" w14:textId="06F80178">
      <w:pPr>
        <w:rPr>
          <w:bCs/>
        </w:rPr>
      </w:pPr>
      <w:r w:rsidRPr="00074D82">
        <w:rPr>
          <w:bCs/>
        </w:rPr>
        <w:t>The grant cannot be used to fund an individual or organisations established to make profit.</w:t>
      </w:r>
    </w:p>
    <w:p w:rsidR="00074523" w:rsidP="006D2AEB" w:rsidRDefault="004B159A" w14:paraId="404E30A4" w14:textId="6B826253">
      <w:pPr>
        <w:rPr>
          <w:b/>
        </w:rPr>
      </w:pPr>
      <w:r w:rsidRPr="004B159A">
        <w:rPr>
          <w:b/>
        </w:rPr>
        <w:t>Timescales</w:t>
      </w:r>
    </w:p>
    <w:p w:rsidR="00074523" w:rsidP="006D2AEB" w:rsidRDefault="004B159A" w14:paraId="0C60E76D" w14:textId="5F3BC948">
      <w:pPr>
        <w:rPr>
          <w:bCs/>
        </w:rPr>
      </w:pPr>
      <w:r w:rsidRPr="004B159A">
        <w:rPr>
          <w:bCs/>
        </w:rPr>
        <w:t>The OPCC will be welcoming business cases throughout 2022-</w:t>
      </w:r>
      <w:r w:rsidR="00890F93">
        <w:rPr>
          <w:bCs/>
        </w:rPr>
        <w:t>20</w:t>
      </w:r>
      <w:r w:rsidRPr="004B159A">
        <w:rPr>
          <w:bCs/>
        </w:rPr>
        <w:t xml:space="preserve">23. </w:t>
      </w:r>
      <w:r>
        <w:rPr>
          <w:bCs/>
        </w:rPr>
        <w:t xml:space="preserve">Once business cases are submitted a panel will review and appraise each application against a set criteria to determine whether to issue </w:t>
      </w:r>
      <w:r w:rsidR="00890F93">
        <w:rPr>
          <w:bCs/>
        </w:rPr>
        <w:t xml:space="preserve">funding and if successful originations </w:t>
      </w:r>
      <w:r w:rsidRPr="004B159A">
        <w:rPr>
          <w:bCs/>
        </w:rPr>
        <w:t>will</w:t>
      </w:r>
      <w:r w:rsidR="00890F93">
        <w:rPr>
          <w:bCs/>
        </w:rPr>
        <w:t xml:space="preserve"> be </w:t>
      </w:r>
      <w:r w:rsidRPr="004B159A">
        <w:rPr>
          <w:bCs/>
        </w:rPr>
        <w:t>issue</w:t>
      </w:r>
      <w:r w:rsidR="00890F93">
        <w:rPr>
          <w:bCs/>
        </w:rPr>
        <w:t>d</w:t>
      </w:r>
      <w:r w:rsidRPr="004B159A">
        <w:rPr>
          <w:bCs/>
        </w:rPr>
        <w:t xml:space="preserve"> terms and conditions</w:t>
      </w:r>
      <w:r w:rsidR="00890F93">
        <w:rPr>
          <w:bCs/>
        </w:rPr>
        <w:t xml:space="preserve"> for 1 year from the date of approval</w:t>
      </w:r>
      <w:r>
        <w:rPr>
          <w:bCs/>
        </w:rPr>
        <w:t>. All successful and unsuccessful appli</w:t>
      </w:r>
      <w:r w:rsidR="00890F93">
        <w:rPr>
          <w:bCs/>
        </w:rPr>
        <w:t>cants</w:t>
      </w:r>
      <w:r>
        <w:rPr>
          <w:bCs/>
        </w:rPr>
        <w:t xml:space="preserve"> will be informed within 7 working days of the panel meeting. All decisions and a brief summary of the rational will be published to the OPCC website following the panel meeting along with Decision Notices.</w:t>
      </w:r>
    </w:p>
    <w:p w:rsidRPr="004B159A" w:rsidR="004B159A" w:rsidP="006D2AEB" w:rsidRDefault="004B159A" w14:paraId="059475E3" w14:textId="593C5CD9">
      <w:pPr>
        <w:rPr>
          <w:b/>
        </w:rPr>
      </w:pPr>
      <w:r w:rsidRPr="004B159A">
        <w:rPr>
          <w:b/>
        </w:rPr>
        <w:t>Please note all business cases must be returned to Commissioning Assistant, Hannah Roberts (Hannah.roberts@northwales.police.uk).</w:t>
      </w:r>
    </w:p>
    <w:p w:rsidRPr="006D2AEB" w:rsidR="00074523" w:rsidP="006D2AEB" w:rsidRDefault="00074523" w14:paraId="60C8C09B" w14:textId="77777777">
      <w:pPr>
        <w:rPr>
          <w:bCs/>
        </w:rPr>
      </w:pPr>
    </w:p>
    <w:p w:rsidR="00503C6D" w:rsidRDefault="00503C6D" w14:paraId="03B59AC0" w14:textId="77777777">
      <w:pPr>
        <w:rPr>
          <w:b/>
        </w:rPr>
      </w:pPr>
    </w:p>
    <w:p w:rsidR="00A8322B" w:rsidRDefault="00A8322B" w14:paraId="732FFE5C" w14:textId="77777777"/>
    <w:p w:rsidR="00AF2409" w:rsidRDefault="00AF2409" w14:paraId="133DF4E1" w14:textId="77777777"/>
    <w:p w:rsidR="00AF2409" w:rsidRDefault="00AF2409" w14:paraId="4AE80D1E" w14:textId="77777777"/>
    <w:p w:rsidR="00AF2409" w:rsidRDefault="00AF2409" w14:paraId="434C0646" w14:textId="77777777"/>
    <w:p w:rsidR="00AF2409" w:rsidRDefault="00AF2409" w14:paraId="5699851E" w14:textId="77777777"/>
    <w:p w:rsidR="00AF2409" w:rsidRDefault="00AF2409" w14:paraId="5A94B9FF" w14:textId="77777777"/>
    <w:p w:rsidR="00741ACE" w:rsidP="00741ACE" w:rsidRDefault="00741ACE" w14:paraId="04911D8C" w14:textId="77777777"/>
    <w:p w:rsidR="00741ACE" w:rsidRDefault="00741ACE" w14:paraId="4E27304B" w14:textId="77777777"/>
    <w:p w:rsidRPr="00A8322B" w:rsidR="00741ACE" w:rsidRDefault="00741ACE" w14:paraId="50747C12" w14:textId="77777777"/>
    <w:sectPr w:rsidRPr="00A8322B" w:rsidR="00741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62118" w14:textId="77777777" w:rsidR="004B159A" w:rsidRDefault="004B159A" w:rsidP="004B159A">
      <w:pPr>
        <w:spacing w:after="0" w:line="240" w:lineRule="auto"/>
      </w:pPr>
      <w:r>
        <w:separator/>
      </w:r>
    </w:p>
  </w:endnote>
  <w:endnote w:type="continuationSeparator" w:id="0">
    <w:p w14:paraId="0AE2BB50" w14:textId="77777777" w:rsidR="004B159A" w:rsidRDefault="004B159A" w:rsidP="004B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66395" w14:textId="77777777" w:rsidR="004B159A" w:rsidRDefault="004B159A" w:rsidP="004B159A">
      <w:pPr>
        <w:spacing w:after="0" w:line="240" w:lineRule="auto"/>
      </w:pPr>
      <w:r>
        <w:separator/>
      </w:r>
    </w:p>
  </w:footnote>
  <w:footnote w:type="continuationSeparator" w:id="0">
    <w:p w14:paraId="2F48BB69" w14:textId="77777777" w:rsidR="004B159A" w:rsidRDefault="004B159A" w:rsidP="004B1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9760D"/>
    <w:multiLevelType w:val="hybridMultilevel"/>
    <w:tmpl w:val="45181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34E36"/>
    <w:multiLevelType w:val="hybridMultilevel"/>
    <w:tmpl w:val="6FD00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5074C"/>
    <w:multiLevelType w:val="hybridMultilevel"/>
    <w:tmpl w:val="18CA4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2B"/>
    <w:rsid w:val="00052BC2"/>
    <w:rsid w:val="0006343F"/>
    <w:rsid w:val="00074523"/>
    <w:rsid w:val="00074D82"/>
    <w:rsid w:val="00083D8A"/>
    <w:rsid w:val="000B448D"/>
    <w:rsid w:val="001301C0"/>
    <w:rsid w:val="001351FE"/>
    <w:rsid w:val="00146288"/>
    <w:rsid w:val="002278CE"/>
    <w:rsid w:val="0023613C"/>
    <w:rsid w:val="00255A1C"/>
    <w:rsid w:val="00257637"/>
    <w:rsid w:val="00266F42"/>
    <w:rsid w:val="002850C6"/>
    <w:rsid w:val="002D0A4A"/>
    <w:rsid w:val="0030308E"/>
    <w:rsid w:val="003446B3"/>
    <w:rsid w:val="00355DC9"/>
    <w:rsid w:val="00373422"/>
    <w:rsid w:val="00377BD1"/>
    <w:rsid w:val="003C7069"/>
    <w:rsid w:val="003D6FB1"/>
    <w:rsid w:val="00445EDF"/>
    <w:rsid w:val="00464697"/>
    <w:rsid w:val="00481331"/>
    <w:rsid w:val="004B159A"/>
    <w:rsid w:val="004B68AE"/>
    <w:rsid w:val="004D08F7"/>
    <w:rsid w:val="00503C6D"/>
    <w:rsid w:val="0052535D"/>
    <w:rsid w:val="00541145"/>
    <w:rsid w:val="00556EF0"/>
    <w:rsid w:val="00566151"/>
    <w:rsid w:val="005700A7"/>
    <w:rsid w:val="005E3CF2"/>
    <w:rsid w:val="005E7842"/>
    <w:rsid w:val="005F1617"/>
    <w:rsid w:val="00622C29"/>
    <w:rsid w:val="00674F50"/>
    <w:rsid w:val="0068627C"/>
    <w:rsid w:val="006931EB"/>
    <w:rsid w:val="006B2DB2"/>
    <w:rsid w:val="006C5662"/>
    <w:rsid w:val="006D2AEB"/>
    <w:rsid w:val="006F0A2D"/>
    <w:rsid w:val="00720084"/>
    <w:rsid w:val="00722031"/>
    <w:rsid w:val="00741ACE"/>
    <w:rsid w:val="0075173D"/>
    <w:rsid w:val="0076389D"/>
    <w:rsid w:val="007715CD"/>
    <w:rsid w:val="0078661A"/>
    <w:rsid w:val="007C56D2"/>
    <w:rsid w:val="007E2AAF"/>
    <w:rsid w:val="008612D8"/>
    <w:rsid w:val="00890F93"/>
    <w:rsid w:val="00917153"/>
    <w:rsid w:val="00931F63"/>
    <w:rsid w:val="009448B7"/>
    <w:rsid w:val="0097013B"/>
    <w:rsid w:val="009718C9"/>
    <w:rsid w:val="009924CC"/>
    <w:rsid w:val="009B5631"/>
    <w:rsid w:val="009D184A"/>
    <w:rsid w:val="009D1F0A"/>
    <w:rsid w:val="009F3055"/>
    <w:rsid w:val="00A10379"/>
    <w:rsid w:val="00A40A94"/>
    <w:rsid w:val="00A653A9"/>
    <w:rsid w:val="00A72968"/>
    <w:rsid w:val="00A8322B"/>
    <w:rsid w:val="00AA5388"/>
    <w:rsid w:val="00AF08D5"/>
    <w:rsid w:val="00AF2409"/>
    <w:rsid w:val="00B22CCE"/>
    <w:rsid w:val="00B47A3B"/>
    <w:rsid w:val="00B705C3"/>
    <w:rsid w:val="00BD5BD8"/>
    <w:rsid w:val="00BE76C3"/>
    <w:rsid w:val="00BF45BF"/>
    <w:rsid w:val="00C34780"/>
    <w:rsid w:val="00C47501"/>
    <w:rsid w:val="00C9236F"/>
    <w:rsid w:val="00D15007"/>
    <w:rsid w:val="00D375E6"/>
    <w:rsid w:val="00D42AB7"/>
    <w:rsid w:val="00D6637E"/>
    <w:rsid w:val="00DA6157"/>
    <w:rsid w:val="00DE0860"/>
    <w:rsid w:val="00DF530F"/>
    <w:rsid w:val="00E15C4E"/>
    <w:rsid w:val="00E17281"/>
    <w:rsid w:val="00E25956"/>
    <w:rsid w:val="00E72950"/>
    <w:rsid w:val="00E9672F"/>
    <w:rsid w:val="00E97EEC"/>
    <w:rsid w:val="00ED68CF"/>
    <w:rsid w:val="00EE162C"/>
    <w:rsid w:val="00F145A0"/>
    <w:rsid w:val="00F22F3D"/>
    <w:rsid w:val="00F36066"/>
    <w:rsid w:val="00F67286"/>
    <w:rsid w:val="00F9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E090D38"/>
  <w15:docId w15:val="{0794FC00-C830-442F-B9FC-02A95F792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22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1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97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5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9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5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918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Wales Police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Roberts, Hannah (Office of the P&amp;CC)</dc:creator>
  <cp:lastModifiedBy>Dyfed Hughes</cp:lastModifiedBy>
  <cp:revision>4</cp:revision>
  <dcterms:created xsi:type="dcterms:W3CDTF">2022-02-16T14:55:00Z</dcterms:created>
  <dcterms:modified xsi:type="dcterms:W3CDTF">2022-03-31T11:00:17Z</dcterms:modified>
  <dc:title>Expression of Interest - OPCC Innovation Fund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2022-01-17T14:49:49Z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52eb497e-ed85-4e02-8c27-45295bfc93e4</vt:lpwstr>
  </property>
  <property fmtid="{D5CDD505-2E9C-101B-9397-08002B2CF9AE}" pid="8" name="MSIP_Label_1677b0f2-b1ce-46d1-8668-d6acde8963a7_ContentBits">
    <vt:lpwstr>0</vt:lpwstr>
  </property>
</Properties>
</file>